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66EDC176" w:rsidR="00B8670C" w:rsidRDefault="009F10D0" w:rsidP="00B8670C">
      <w:pPr>
        <w:spacing w:after="160" w:line="259" w:lineRule="auto"/>
        <w:rPr>
          <w:kern w:val="36"/>
          <w:sz w:val="72"/>
          <w:szCs w:val="72"/>
          <w:highlight w:val="yellow"/>
        </w:rPr>
      </w:pPr>
      <w:r>
        <w:rPr>
          <w:rFonts w:cs="Arial"/>
          <w:noProof/>
          <w:color w:val="009975"/>
        </w:rPr>
        <w:drawing>
          <wp:anchor distT="0" distB="0" distL="114300" distR="114300" simplePos="0" relativeHeight="251659266" behindDoc="0" locked="0" layoutInCell="1" allowOverlap="1" wp14:anchorId="2A31B707" wp14:editId="3064F49C">
            <wp:simplePos x="0" y="0"/>
            <wp:positionH relativeFrom="column">
              <wp:posOffset>319405</wp:posOffset>
            </wp:positionH>
            <wp:positionV relativeFrom="paragraph">
              <wp:posOffset>4939030</wp:posOffset>
            </wp:positionV>
            <wp:extent cx="1967664" cy="1196340"/>
            <wp:effectExtent l="0" t="0" r="0" b="3810"/>
            <wp:wrapNone/>
            <wp:docPr id="10061910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0269" cy="1197924"/>
                    </a:xfrm>
                    <a:prstGeom prst="rect">
                      <a:avLst/>
                    </a:prstGeom>
                    <a:noFill/>
                    <a:ln>
                      <a:noFill/>
                    </a:ln>
                  </pic:spPr>
                </pic:pic>
              </a:graphicData>
            </a:graphic>
            <wp14:sizeRelH relativeFrom="page">
              <wp14:pctWidth>0</wp14:pctWidth>
            </wp14:sizeRelH>
            <wp14:sizeRelV relativeFrom="page">
              <wp14:pctHeight>0</wp14:pctHeight>
            </wp14:sizeRelV>
          </wp:anchor>
        </w:drawing>
      </w:r>
      <w:r w:rsidR="000F6B60"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1DFA810E">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541510" cy="437388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2CFE7D4A"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9F10D0">
                              <w:rPr>
                                <w:rFonts w:ascii="Manrope" w:hAnsi="Manrope"/>
                                <w:color w:val="FFFFFF" w:themeColor="background1"/>
                                <w:spacing w:val="1"/>
                                <w:sz w:val="36"/>
                                <w:szCs w:val="36"/>
                              </w:rPr>
                              <w:t>Heather Rees-Boughton</w:t>
                            </w:r>
                          </w:p>
                          <w:p w14:paraId="2FF52822" w14:textId="7B4F85AD"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Safeguarding Governor:</w:t>
                            </w:r>
                            <w:r w:rsidR="009F10D0">
                              <w:rPr>
                                <w:rFonts w:ascii="Manrope" w:hAnsi="Manrope"/>
                                <w:color w:val="FFFFFF" w:themeColor="background1"/>
                                <w:sz w:val="36"/>
                                <w:szCs w:val="36"/>
                              </w:rPr>
                              <w:t xml:space="preserve"> </w:t>
                            </w:r>
                            <w:r w:rsidR="00A10511">
                              <w:rPr>
                                <w:rFonts w:ascii="Manrope" w:hAnsi="Manrope"/>
                                <w:color w:val="FFFFFF" w:themeColor="background1"/>
                                <w:sz w:val="36"/>
                                <w:szCs w:val="36"/>
                              </w:rPr>
                              <w:t>Simon Smith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2CFE7D4A"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9F10D0">
                        <w:rPr>
                          <w:rFonts w:ascii="Manrope" w:hAnsi="Manrope"/>
                          <w:color w:val="FFFFFF" w:themeColor="background1"/>
                          <w:spacing w:val="1"/>
                          <w:sz w:val="36"/>
                          <w:szCs w:val="36"/>
                        </w:rPr>
                        <w:t>Heather Rees-Boughton</w:t>
                      </w:r>
                    </w:p>
                    <w:p w14:paraId="2FF52822" w14:textId="7B4F85AD"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Safeguarding Governor:</w:t>
                      </w:r>
                      <w:r w:rsidR="009F10D0">
                        <w:rPr>
                          <w:rFonts w:ascii="Manrope" w:hAnsi="Manrope"/>
                          <w:color w:val="FFFFFF" w:themeColor="background1"/>
                          <w:sz w:val="36"/>
                          <w:szCs w:val="36"/>
                        </w:rPr>
                        <w:t xml:space="preserve"> </w:t>
                      </w:r>
                      <w:r w:rsidR="00A10511">
                        <w:rPr>
                          <w:rFonts w:ascii="Manrope" w:hAnsi="Manrope"/>
                          <w:color w:val="FFFFFF" w:themeColor="background1"/>
                          <w:sz w:val="36"/>
                          <w:szCs w:val="36"/>
                        </w:rPr>
                        <w:t>Simon Smith</w:t>
                      </w:r>
                    </w:p>
                  </w:txbxContent>
                </v:textbox>
                <w10:wrap anchory="page"/>
                <w10:anchorlock/>
              </v:shape>
            </w:pict>
          </mc:Fallback>
        </mc:AlternateContent>
      </w:r>
      <w:r w:rsidR="000F6B60">
        <w:rPr>
          <w:rFonts w:cs="Arial"/>
          <w:noProof/>
          <w:color w:val="009975"/>
        </w:rPr>
        <w:drawing>
          <wp:anchor distT="0" distB="0" distL="114300" distR="114300" simplePos="0" relativeHeight="251658240" behindDoc="0" locked="0" layoutInCell="1" allowOverlap="1" wp14:anchorId="07F99DDF" wp14:editId="776D957A">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3"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4"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lastRenderedPageBreak/>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5">
        <w:r w:rsidRPr="00014AD7">
          <w:rPr>
            <w:rStyle w:val="Hyperlink"/>
            <w:rFonts w:ascii="Tahoma" w:hAnsi="Tahoma" w:cs="Tahoma"/>
            <w:kern w:val="22"/>
          </w:rPr>
          <w:t>Keeping children safe in education (</w:t>
        </w:r>
        <w:proofErr w:type="spellStart"/>
        <w:r w:rsidRPr="00014AD7">
          <w:rPr>
            <w:rStyle w:val="Hyperlink"/>
            <w:rFonts w:ascii="Tahoma" w:hAnsi="Tahoma" w:cs="Tahoma"/>
            <w:kern w:val="22"/>
          </w:rPr>
          <w:t>KCSiE</w:t>
        </w:r>
        <w:proofErr w:type="spellEnd"/>
        <w:r w:rsidRPr="00014AD7">
          <w:rPr>
            <w:rStyle w:val="Hyperlink"/>
            <w:rFonts w:ascii="Tahoma" w:hAnsi="Tahoma" w:cs="Tahoma"/>
            <w:kern w:val="22"/>
          </w:rPr>
          <w:t>)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6">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7">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8"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9"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20">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w:t>
      </w:r>
      <w:proofErr w:type="spellStart"/>
      <w:r w:rsidRPr="00767A26">
        <w:rPr>
          <w:rFonts w:ascii="Tahoma" w:hAnsi="Tahoma" w:cs="Tahoma"/>
          <w:kern w:val="22"/>
        </w:rPr>
        <w:t>CoCE</w:t>
      </w:r>
      <w:proofErr w:type="spellEnd"/>
      <w:r w:rsidRPr="00767A26">
        <w:rPr>
          <w:rFonts w:ascii="Tahoma" w:hAnsi="Tahoma" w:cs="Tahoma"/>
          <w:kern w:val="22"/>
        </w:rPr>
        <w:t>)</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63F98152"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E409E3">
        <w:rPr>
          <w:rFonts w:ascii="Tahoma" w:hAnsi="Tahoma" w:cs="Tahoma"/>
          <w:color w:val="000000" w:themeColor="text1"/>
        </w:rPr>
        <w:t>, P</w:t>
      </w:r>
      <w:r w:rsidR="0086305B" w:rsidRPr="00014AD7">
        <w:rPr>
          <w:rFonts w:ascii="Tahoma" w:hAnsi="Tahoma" w:cs="Tahoma"/>
          <w:color w:val="000000" w:themeColor="text1"/>
        </w:rPr>
        <w:t>rincipal</w:t>
      </w:r>
      <w:r w:rsidR="00E409E3">
        <w:rPr>
          <w:rFonts w:ascii="Tahoma" w:hAnsi="Tahoma" w:cs="Tahoma"/>
          <w:color w:val="000000" w:themeColor="text1"/>
        </w:rPr>
        <w:t xml:space="preserve"> or equivalent</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4A48FAF5"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00765BAA" w:rsidRPr="00767A26">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0C9EECB1"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must be handed in at the school</w:t>
      </w:r>
      <w:r w:rsidR="00765BAA" w:rsidRPr="00767A26">
        <w:rPr>
          <w:rFonts w:ascii="Tahoma" w:hAnsi="Tahoma" w:cs="Tahoma"/>
          <w:b/>
          <w:bCs/>
          <w:color w:val="000000" w:themeColor="text1"/>
          <w:kern w:val="22"/>
        </w:rPr>
        <w:t>/college</w:t>
      </w:r>
      <w:r w:rsidR="00E549EE" w:rsidRPr="00767A26">
        <w:rPr>
          <w:rFonts w:ascii="Tahoma" w:hAnsi="Tahoma" w:cs="Tahoma"/>
          <w:b/>
          <w:bCs/>
          <w:color w:val="000000" w:themeColor="text1"/>
          <w:kern w:val="22"/>
        </w:rPr>
        <w:t xml:space="preserve">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w:t>
      </w:r>
      <w:r w:rsidR="00F92EF8" w:rsidRPr="00767A26">
        <w:rPr>
          <w:rFonts w:ascii="Tahoma" w:hAnsi="Tahoma" w:cs="Tahoma"/>
          <w:color w:val="000000" w:themeColor="text1"/>
          <w:kern w:val="22"/>
        </w:rPr>
        <w:t>/college</w:t>
      </w:r>
      <w:r w:rsidR="00E549EE" w:rsidRPr="00767A26">
        <w:rPr>
          <w:rFonts w:ascii="Tahoma" w:hAnsi="Tahoma" w:cs="Tahoma"/>
          <w:color w:val="000000" w:themeColor="text1"/>
          <w:kern w:val="22"/>
          <w:shd w:val="clear" w:color="auto" w:fill="FFFFFF"/>
        </w:rPr>
        <w:t xml:space="preserve">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w:t>
      </w:r>
      <w:r w:rsidR="00F92EF8" w:rsidRPr="00767A26">
        <w:rPr>
          <w:rFonts w:ascii="Tahoma" w:hAnsi="Tahoma" w:cs="Tahoma"/>
          <w:color w:val="000000" w:themeColor="text1"/>
          <w:kern w:val="22"/>
        </w:rPr>
        <w:t>/college</w:t>
      </w:r>
      <w:r w:rsidR="00B3475C" w:rsidRPr="00767A26">
        <w:rPr>
          <w:rFonts w:ascii="Tahoma" w:hAnsi="Tahoma" w:cs="Tahoma"/>
          <w:color w:val="000000" w:themeColor="text1"/>
          <w:kern w:val="22"/>
          <w:shd w:val="clear" w:color="auto" w:fill="FFFFFF"/>
        </w:rPr>
        <w:t xml:space="preserve">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6F78AD5F"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5935F934"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0086305B" w:rsidRPr="00767A26">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proofErr w:type="gramStart"/>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the opportunity to</w:t>
      </w:r>
      <w:proofErr w:type="gramEnd"/>
      <w:r w:rsidR="002B015A" w:rsidRPr="00767A26">
        <w:rPr>
          <w:rStyle w:val="ui-provider"/>
          <w:rFonts w:ascii="Tahoma" w:hAnsi="Tahoma" w:cs="Tahoma"/>
          <w:kern w:val="22"/>
        </w:rPr>
        <w:t xml:space="preserve">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6B7014E7"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w:t>
      </w:r>
      <w:r w:rsidR="003B678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hours, they should contact the school</w:t>
      </w:r>
      <w:r w:rsidR="00C54BE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w:t>
      </w:r>
      <w:r w:rsidR="00C54BEF" w:rsidRPr="00767A26">
        <w:rPr>
          <w:rFonts w:ascii="Tahoma" w:hAnsi="Tahoma" w:cs="Tahoma"/>
          <w:color w:val="000000" w:themeColor="text1"/>
          <w:kern w:val="22"/>
        </w:rPr>
        <w:t>/college</w:t>
      </w:r>
      <w:r w:rsidR="007D4F98" w:rsidRPr="00767A26">
        <w:rPr>
          <w:rFonts w:ascii="Tahoma" w:hAnsi="Tahoma" w:cs="Tahoma"/>
          <w:iCs/>
          <w:color w:val="000000" w:themeColor="text1"/>
          <w:kern w:val="22"/>
        </w:rPr>
        <w:t xml:space="preserve">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24C4F4E3"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lastRenderedPageBreak/>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w:t>
      </w:r>
      <w:r w:rsidR="00FF7A77" w:rsidRPr="00014AD7">
        <w:rPr>
          <w:rFonts w:ascii="Tahoma" w:hAnsi="Tahoma" w:cs="Tahoma"/>
          <w:color w:val="000000" w:themeColor="text1"/>
        </w:rPr>
        <w:t>/college</w:t>
      </w:r>
      <w:r w:rsidR="00ED61B8" w:rsidRPr="00014AD7">
        <w:rPr>
          <w:rFonts w:ascii="Tahoma" w:hAnsi="Tahoma" w:cs="Tahoma"/>
          <w:color w:val="000000" w:themeColor="text1"/>
        </w:rPr>
        <w:t xml:space="preserve">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76870836"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that is required in the school</w:t>
      </w:r>
      <w:r w:rsidR="00FF7A77" w:rsidRPr="00965AA9">
        <w:rPr>
          <w:rFonts w:ascii="Tahoma" w:hAnsi="Tahoma" w:cs="Tahoma"/>
        </w:rPr>
        <w:t>/college</w:t>
      </w:r>
      <w:r w:rsidR="0076162F" w:rsidRPr="00965AA9">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r:id="rId21"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3F0B31BF"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Schools</w:t>
      </w:r>
      <w:r w:rsidR="00FF7A77" w:rsidRPr="00965AA9">
        <w:rPr>
          <w:rFonts w:cs="Tahoma"/>
          <w:bCs/>
          <w:iCs/>
          <w:sz w:val="22"/>
          <w:szCs w:val="22"/>
        </w:rPr>
        <w:t>/</w:t>
      </w:r>
      <w:r w:rsidR="00FF7A77" w:rsidRPr="00965AA9">
        <w:rPr>
          <w:rFonts w:cs="Tahoma"/>
          <w:sz w:val="22"/>
          <w:szCs w:val="22"/>
        </w:rPr>
        <w:t>colleges</w:t>
      </w:r>
      <w:r w:rsidR="004E1C69" w:rsidRPr="00965AA9">
        <w:rPr>
          <w:rFonts w:cs="Tahoma"/>
          <w:bCs/>
          <w:iCs/>
          <w:sz w:val="22"/>
          <w:szCs w:val="22"/>
        </w:rPr>
        <w:t xml:space="preserve">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 xml:space="preserve">Any such arrangements should be proportionate and </w:t>
      </w:r>
      <w:proofErr w:type="gramStart"/>
      <w:r w:rsidRPr="00965AA9">
        <w:rPr>
          <w:rFonts w:cs="Tahoma"/>
          <w:sz w:val="22"/>
          <w:szCs w:val="22"/>
          <w:lang w:val="en-GB"/>
        </w:rPr>
        <w:t>risk-based</w:t>
      </w:r>
      <w:proofErr w:type="gramEnd"/>
      <w:r w:rsidRPr="00965AA9">
        <w:rPr>
          <w:rFonts w:cs="Tahoma"/>
          <w:sz w:val="22"/>
          <w:szCs w:val="22"/>
          <w:lang w:val="en-GB"/>
        </w:rPr>
        <w:t>.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44DE2BCE"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681140A3" w:rsidR="000C0799" w:rsidRPr="00965AA9" w:rsidRDefault="008807F6" w:rsidP="00861C32">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chool</w:t>
      </w:r>
      <w:r w:rsidR="00FF7A77" w:rsidRPr="00965AA9">
        <w:rPr>
          <w:rFonts w:ascii="Tahoma" w:hAnsi="Tahoma" w:cs="Tahoma"/>
          <w:color w:val="000000" w:themeColor="text1"/>
        </w:rPr>
        <w:t>/college</w:t>
      </w:r>
      <w:r w:rsidR="008848CE" w:rsidRPr="00965AA9">
        <w:rPr>
          <w:rFonts w:ascii="Tahoma" w:hAnsi="Tahoma" w:cs="Tahoma"/>
          <w:color w:val="000000" w:themeColor="text1"/>
        </w:rPr>
        <w:t xml:space="preserve">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2">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3"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613AD532"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Where there is a concern that a child is at risk of harm, the school</w:t>
      </w:r>
      <w:r w:rsidR="00047CF5" w:rsidRPr="00014AD7">
        <w:rPr>
          <w:rFonts w:ascii="Tahoma" w:hAnsi="Tahoma" w:cs="Tahoma"/>
          <w:color w:val="000000" w:themeColor="text1"/>
        </w:rPr>
        <w:t>/college</w:t>
      </w:r>
      <w:r w:rsidR="002E71C5" w:rsidRPr="00014AD7">
        <w:rPr>
          <w:rFonts w:ascii="Tahoma" w:hAnsi="Tahoma" w:cs="Tahoma"/>
          <w:color w:val="000000" w:themeColor="text1"/>
        </w:rPr>
        <w:t xml:space="preserve">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’s/college’s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2D11B914"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w:t>
      </w:r>
      <w:r w:rsidR="009622B8" w:rsidRPr="00014AD7">
        <w:rPr>
          <w:rFonts w:ascii="Tahoma" w:hAnsi="Tahoma" w:cs="Tahoma"/>
          <w:color w:val="000000" w:themeColor="text1"/>
        </w:rPr>
        <w:t>/college</w:t>
      </w:r>
      <w:r w:rsidR="002E71C5" w:rsidRPr="00014AD7">
        <w:rPr>
          <w:rFonts w:ascii="Tahoma" w:hAnsi="Tahoma" w:cs="Tahoma"/>
          <w:color w:val="000000" w:themeColor="text1"/>
        </w:rPr>
        <w:t xml:space="preserve">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1AD6B818"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school/college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B37112" w:rsidRPr="00B01616">
        <w:rPr>
          <w:rFonts w:ascii="Tahoma" w:hAnsi="Tahoma" w:cs="Tahoma"/>
        </w:rPr>
        <w:t>/college</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school/college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school/college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3A2E4BAF"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w:t>
      </w:r>
      <w:r w:rsidR="00B37112" w:rsidRPr="00B01616">
        <w:rPr>
          <w:rFonts w:ascii="Tahoma" w:hAnsi="Tahoma" w:cs="Tahoma"/>
        </w:rPr>
        <w:t>/college</w:t>
      </w:r>
      <w:r w:rsidR="006829B6" w:rsidRPr="00B01616">
        <w:rPr>
          <w:rFonts w:ascii="Tahoma" w:hAnsi="Tahoma" w:cs="Tahoma"/>
        </w:rPr>
        <w:t xml:space="preserve"> office number.</w:t>
      </w:r>
    </w:p>
    <w:p w14:paraId="361550FC" w14:textId="77777777" w:rsidR="00AC156B" w:rsidRPr="00B01616" w:rsidRDefault="00AC156B" w:rsidP="00F72255">
      <w:pPr>
        <w:spacing w:after="0"/>
        <w:ind w:left="851"/>
        <w:jc w:val="both"/>
        <w:rPr>
          <w:rFonts w:ascii="Tahoma" w:hAnsi="Tahoma" w:cs="Tahoma"/>
        </w:rPr>
      </w:pPr>
    </w:p>
    <w:p w14:paraId="13C15ACC" w14:textId="7C3E4A1D"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13381C56"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790AAA" w:rsidRPr="00B01616">
        <w:rPr>
          <w:rFonts w:ascii="Tahoma" w:hAnsi="Tahoma" w:cs="Tahoma"/>
        </w:rPr>
        <w:t>/</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school/college.</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5ACAD486"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/college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5572A08D"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B37112" w:rsidRPr="00B01616">
        <w:rPr>
          <w:rFonts w:ascii="Tahoma" w:hAnsi="Tahoma" w:cs="Tahoma"/>
          <w:color w:val="000000" w:themeColor="text1"/>
        </w:rPr>
        <w:t>/college</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7ED6C6D4"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00AA4AAB" w:rsidRPr="00014AD7">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0336E18F"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FC284F" w:rsidRPr="00014AD7">
        <w:rPr>
          <w:rFonts w:ascii="Tahoma" w:hAnsi="Tahoma" w:cs="Tahoma"/>
          <w:color w:val="000000" w:themeColor="text1"/>
        </w:rPr>
        <w:t>/college</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16FD1DF4"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w:t>
      </w:r>
      <w:r w:rsidR="00FC284F" w:rsidRPr="00014AD7">
        <w:rPr>
          <w:rFonts w:ascii="Tahoma" w:hAnsi="Tahoma" w:cs="Tahoma"/>
          <w:color w:val="000000" w:themeColor="text1"/>
        </w:rPr>
        <w:t>/college</w:t>
      </w:r>
      <w:r w:rsidR="000417FC" w:rsidRPr="00014AD7">
        <w:rPr>
          <w:rFonts w:ascii="Tahoma" w:hAnsi="Tahoma" w:cs="Tahoma"/>
          <w:color w:val="000000" w:themeColor="text1"/>
        </w:rPr>
        <w:t xml:space="preserve">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proofErr w:type="gramStart"/>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w:t>
      </w:r>
      <w:proofErr w:type="gramEnd"/>
      <w:r w:rsidR="00CD426A" w:rsidRPr="00014AD7">
        <w:rPr>
          <w:rFonts w:ascii="Tahoma" w:hAnsi="Tahoma" w:cs="Tahoma"/>
          <w:bCs/>
          <w:iCs/>
        </w:rPr>
        <w:t xml:space="preserve">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4"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5"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0EAD9C03"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084292" w:rsidRPr="00B01616">
        <w:rPr>
          <w:rFonts w:ascii="Tahoma" w:hAnsi="Tahoma" w:cs="Tahoma"/>
        </w:rPr>
        <w:t>/college</w:t>
      </w:r>
      <w:r w:rsidR="00B309AF" w:rsidRPr="00B01616">
        <w:rPr>
          <w:rFonts w:ascii="Tahoma" w:hAnsi="Tahoma" w:cs="Tahoma"/>
        </w:rPr>
        <w:t>.</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4D594F8B" w:rsidR="00BD5785" w:rsidRPr="00014AD7" w:rsidRDefault="00BD5785" w:rsidP="0047680C">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00084292" w:rsidRPr="00014AD7">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0089130E" w:rsidRPr="00014AD7">
        <w:rPr>
          <w:rFonts w:ascii="Tahoma" w:hAnsi="Tahoma" w:cs="Tahoma"/>
          <w:color w:val="000000" w:themeColor="text1"/>
        </w:rPr>
        <w:t xml:space="preserve"> if necessary. </w:t>
      </w:r>
      <w:r w:rsidRPr="00014AD7">
        <w:rPr>
          <w:rFonts w:ascii="Tahoma" w:hAnsi="Tahoma" w:cs="Tahoma"/>
          <w:color w:val="000000" w:themeColor="text1"/>
        </w:rPr>
        <w:t xml:space="preserve"> </w:t>
      </w:r>
    </w:p>
    <w:p w14:paraId="1A3009E6" w14:textId="2F574236"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proofErr w:type="gramStart"/>
      <w:r w:rsidRPr="00014AD7">
        <w:rPr>
          <w:rFonts w:ascii="Tahoma" w:hAnsi="Tahoma" w:cs="Tahoma"/>
          <w:color w:val="000000" w:themeColor="text1"/>
          <w:szCs w:val="22"/>
        </w:rPr>
        <w:lastRenderedPageBreak/>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w:t>
      </w:r>
      <w:proofErr w:type="gramEnd"/>
      <w:r w:rsidR="000F6B60" w:rsidRPr="00014AD7">
        <w:rPr>
          <w:rFonts w:ascii="Tahoma" w:hAnsi="Tahoma" w:cs="Tahoma"/>
          <w:color w:val="000000" w:themeColor="text1"/>
          <w:szCs w:val="22"/>
        </w:rPr>
        <w:t xml:space="preserve">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proofErr w:type="gramStart"/>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w:t>
      </w:r>
      <w:proofErr w:type="gramEnd"/>
      <w:r w:rsidR="000F6B60" w:rsidRPr="00014AD7">
        <w:rPr>
          <w:rFonts w:ascii="Tahoma" w:hAnsi="Tahoma" w:cs="Tahoma"/>
          <w:szCs w:val="22"/>
        </w:rPr>
        <w:t xml:space="preserve">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07EE9764"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00AA70C9" w:rsidRPr="00014AD7">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6"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B561E78"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822B4B">
        <w:rPr>
          <w:rFonts w:ascii="Tahoma" w:hAnsi="Tahoma" w:cs="Tahoma"/>
        </w:rPr>
        <w:t>,</w:t>
      </w:r>
      <w:r w:rsidR="00AD7DCE" w:rsidRPr="00014AD7">
        <w:rPr>
          <w:rFonts w:ascii="Tahoma" w:hAnsi="Tahoma" w:cs="Tahoma"/>
          <w:color w:val="000000" w:themeColor="text1"/>
        </w:rPr>
        <w:t xml:space="preserve"> </w:t>
      </w:r>
      <w:r w:rsidR="00822B4B">
        <w:rPr>
          <w:rFonts w:ascii="Tahoma" w:hAnsi="Tahoma" w:cs="Tahoma"/>
          <w:color w:val="000000" w:themeColor="text1"/>
        </w:rPr>
        <w:t>P</w:t>
      </w:r>
      <w:r w:rsidR="00AD7DCE" w:rsidRPr="00014AD7">
        <w:rPr>
          <w:rFonts w:ascii="Tahoma" w:hAnsi="Tahoma" w:cs="Tahoma"/>
          <w:color w:val="000000" w:themeColor="text1"/>
        </w:rPr>
        <w:t>rincipal</w:t>
      </w:r>
      <w:r w:rsidR="00822B4B">
        <w:rPr>
          <w:rFonts w:ascii="Tahoma" w:hAnsi="Tahoma" w:cs="Tahoma"/>
          <w:color w:val="000000" w:themeColor="text1"/>
        </w:rPr>
        <w:t xml:space="preserve"> or equivalent</w:t>
      </w:r>
      <w:r w:rsidR="00A32C0C" w:rsidRPr="00014AD7">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7"/>
          <w:footerReference w:type="default" r:id="rId28"/>
          <w:headerReference w:type="first" r:id="rId29"/>
          <w:footerReference w:type="first" r:id="rId30"/>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61579149">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2"/>
      <w:footerReference w:type="first" r:id="rId33"/>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CED0" w14:textId="77777777" w:rsidR="00C76A1D" w:rsidRDefault="00C76A1D" w:rsidP="00BF557A">
      <w:pPr>
        <w:spacing w:after="0"/>
      </w:pPr>
      <w:r>
        <w:separator/>
      </w:r>
    </w:p>
  </w:endnote>
  <w:endnote w:type="continuationSeparator" w:id="0">
    <w:p w14:paraId="3CE676F2" w14:textId="77777777" w:rsidR="00C76A1D" w:rsidRDefault="00C76A1D" w:rsidP="00BF557A">
      <w:pPr>
        <w:spacing w:after="0"/>
      </w:pPr>
      <w:r>
        <w:continuationSeparator/>
      </w:r>
    </w:p>
  </w:endnote>
  <w:endnote w:type="continuationNotice" w:id="1">
    <w:p w14:paraId="448B61DE" w14:textId="77777777" w:rsidR="00C76A1D" w:rsidRDefault="00C76A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A12B" id="docshape7" o:spid="_x0000_s1026"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C76A1D" w:rsidP="009A2CF4">
    <w:pPr>
      <w:pStyle w:val="Footer"/>
      <w:jc w:val="right"/>
      <w:rPr>
        <w:sz w:val="18"/>
        <w:szCs w:val="18"/>
      </w:rPr>
    </w:pPr>
    <w:sdt>
      <w:sdtPr>
        <w:rPr>
          <w:sz w:val="18"/>
          <w:szCs w:val="18"/>
        </w:rPr>
        <w:id w:val="-1715726395"/>
        <w:docPartObj>
          <w:docPartGallery w:val="Page Numbers (Top of Page)"/>
          <w:docPartUnique/>
        </w:docPartObj>
      </w:sdtPr>
      <w:sdtEnd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4D26" w14:textId="77777777" w:rsidR="00C76A1D" w:rsidRDefault="00C76A1D" w:rsidP="00BF557A">
      <w:pPr>
        <w:spacing w:after="0"/>
      </w:pPr>
      <w:r>
        <w:separator/>
      </w:r>
    </w:p>
  </w:footnote>
  <w:footnote w:type="continuationSeparator" w:id="0">
    <w:p w14:paraId="19924BB7" w14:textId="77777777" w:rsidR="00C76A1D" w:rsidRDefault="00C76A1D" w:rsidP="00BF557A">
      <w:pPr>
        <w:spacing w:after="0"/>
      </w:pPr>
      <w:r>
        <w:continuationSeparator/>
      </w:r>
    </w:p>
  </w:footnote>
  <w:footnote w:type="continuationNotice" w:id="1">
    <w:p w14:paraId="7B29E5AD" w14:textId="77777777" w:rsidR="00C76A1D" w:rsidRDefault="00C76A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4907B55">
              <wp:simplePos x="0" y="0"/>
              <wp:positionH relativeFrom="column">
                <wp:posOffset>5264785</wp:posOffset>
              </wp:positionH>
              <wp:positionV relativeFrom="paragraph">
                <wp:posOffset>-60960</wp:posOffset>
              </wp:positionV>
              <wp:extent cx="1447800"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579755"/>
                      </a:xfrm>
                      <a:prstGeom prst="rect">
                        <a:avLst/>
                      </a:prstGeom>
                      <a:noFill/>
                      <a:ln w="6350">
                        <a:noFill/>
                      </a:ln>
                    </wps:spPr>
                    <wps:txb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14.55pt;margin-top:-4.8pt;width:114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4wFgIAACwEAAAOAAAAZHJzL2Uyb0RvYy54bWysU11v2yAUfZ+0/4B4X+xkcd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" filled="f" stroked="f" strokeweight=".5pt">
              <v:textbo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1" type="#_x0000_t202"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4D16"/>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43D"/>
    <w:rsid w:val="0083590C"/>
    <w:rsid w:val="00836F10"/>
    <w:rsid w:val="0083703E"/>
    <w:rsid w:val="00837DCF"/>
    <w:rsid w:val="00843017"/>
    <w:rsid w:val="00847562"/>
    <w:rsid w:val="00850A7C"/>
    <w:rsid w:val="00851D72"/>
    <w:rsid w:val="008533F2"/>
    <w:rsid w:val="00853E6C"/>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53B8"/>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3D5C"/>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10D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0511"/>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A1D"/>
    <w:rsid w:val="00C76C4F"/>
    <w:rsid w:val="00C774BA"/>
    <w:rsid w:val="00C80AFA"/>
    <w:rsid w:val="00C813B8"/>
    <w:rsid w:val="00C815B0"/>
    <w:rsid w:val="00C84329"/>
    <w:rsid w:val="00C87C3E"/>
    <w:rsid w:val="00C911EA"/>
    <w:rsid w:val="00C919AC"/>
    <w:rsid w:val="00C91C1B"/>
    <w:rsid w:val="00C928B5"/>
    <w:rsid w:val="00C9509D"/>
    <w:rsid w:val="00C95292"/>
    <w:rsid w:val="00C9572E"/>
    <w:rsid w:val="00C96694"/>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385723/PDF/385723eng.pdf.multi" TargetMode="External"/><Relationship Id="rId18" Type="http://schemas.openxmlformats.org/officeDocument/2006/relationships/hyperlink" Target="https://www.gov.uk/government/publications/teaching-online-safety-in-schools/teaching-online-safety-in-schools" TargetMode="External"/><Relationship Id="rId26" Type="http://schemas.openxmlformats.org/officeDocument/2006/relationships/hyperlink" Target="mailto:safeguarding@ofgl.co.uk" TargetMode="External"/><Relationship Id="rId3" Type="http://schemas.openxmlformats.org/officeDocument/2006/relationships/customXml" Target="../customXml/item3.xml"/><Relationship Id="rId21" Type="http://schemas.openxmlformats.org/officeDocument/2006/relationships/hyperlink" Target="http://www.gov.uk/government/publications/searching-screening-and-confisc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v.uk/government/publications/searching-screening-and-confiscation" TargetMode="External"/><Relationship Id="rId25" Type="http://schemas.openxmlformats.org/officeDocument/2006/relationships/hyperlink" Target="mailto:safegaurding@ofgl.co.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roperationsadvice@ofgl.co.u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s://assets.publishing.service.gov.uk/media/62d1643e8fa8f50bfbefa55c/Searching__Screening_and_Confiscation_guidance_July_2022.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cf5f2a4239310011b7b916/Mobile_phones_in_schools_guidance.pdf" TargetMode="External"/><Relationship Id="rId22" Type="http://schemas.openxmlformats.org/officeDocument/2006/relationships/hyperlink" Target="mailto:safeguarding@ofgl.co.uk"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80aa899d-0ec7-45d0-a359-d7070e824c98"/>
    <ds:schemaRef ds:uri="667a8bee-ceca-4c78-ae9b-d6db4539eb30"/>
    <ds:schemaRef ds:uri="37b87c24-944e-46ea-8106-b53363f7200d"/>
  </ds:schemaRefs>
</ds:datastoreItem>
</file>

<file path=customXml/itemProps2.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3.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4.xml><?xml version="1.0" encoding="utf-8"?>
<ds:datastoreItem xmlns:ds="http://schemas.openxmlformats.org/officeDocument/2006/customXml" ds:itemID="{744DA473-B6D3-4ED9-808F-F91D04712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3464</Words>
  <Characters>19746</Characters>
  <Application>Microsoft Office Word</Application>
  <DocSecurity>0</DocSecurity>
  <Lines>164</Lines>
  <Paragraphs>46</Paragraphs>
  <ScaleCrop>false</ScaleCrop>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Andy Moore (Norton College)</cp:lastModifiedBy>
  <cp:revision>5</cp:revision>
  <dcterms:created xsi:type="dcterms:W3CDTF">2025-09-29T19:53:00Z</dcterms:created>
  <dcterms:modified xsi:type="dcterms:W3CDTF">2025-11-14T14:56:00Z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MediaServiceImageTags">
    <vt:lpwstr/>
  </property>
</Properties>
</file>